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ind w:left="104" w:right="117" w:hanging="0"/>
        <w:jc w:val="center"/>
        <w:rPr>
          <w:sz w:val="24"/>
          <w:szCs w:val="24"/>
        </w:rPr>
      </w:pPr>
      <w:r>
        <w:rPr>
          <w:b/>
          <w:bCs/>
          <w:sz w:val="24"/>
          <w:szCs w:val="24"/>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pPr>
        <w:pStyle w:val="Normal"/>
        <w:spacing w:lineRule="auto" w:line="240" w:before="0" w:after="120"/>
        <w:ind w:left="104" w:right="117" w:hanging="0"/>
        <w:contextualSpacing/>
        <w:jc w:val="center"/>
        <w:rPr>
          <w:sz w:val="24"/>
          <w:szCs w:val="24"/>
        </w:rPr>
      </w:pPr>
      <w:r>
        <w:rPr>
          <w:b w:val="false"/>
          <w:bCs w:val="false"/>
          <w:sz w:val="24"/>
          <w:szCs w:val="24"/>
        </w:rPr>
        <w:t>(відповідно до пункту 4</w:t>
      </w:r>
      <w:r>
        <w:rPr>
          <w:b w:val="false"/>
          <w:bCs w:val="false"/>
          <w:sz w:val="24"/>
          <w:szCs w:val="24"/>
          <w:vertAlign w:val="superscript"/>
        </w:rPr>
        <w:t xml:space="preserve">1 </w:t>
      </w:r>
      <w:r>
        <w:rPr>
          <w:b w:val="false"/>
          <w:bCs w:val="false"/>
          <w:sz w:val="24"/>
          <w:szCs w:val="24"/>
        </w:rPr>
        <w:t xml:space="preserve">постанови Кабінету Міністрів України від 11.10.2016 № 710 </w:t>
        <w:br/>
        <w:t>«Про ефективне використання державних коштів» (зі змінами))</w:t>
      </w:r>
    </w:p>
    <w:p>
      <w:pPr>
        <w:pStyle w:val="ListParagraph"/>
        <w:numPr>
          <w:ilvl w:val="0"/>
          <w:numId w:val="0"/>
        </w:numPr>
        <w:tabs>
          <w:tab w:val="left" w:pos="366" w:leader="none"/>
        </w:tabs>
        <w:spacing w:before="104" w:after="0"/>
        <w:ind w:left="104" w:right="108" w:hanging="0"/>
        <w:jc w:val="both"/>
        <w:rPr>
          <w:sz w:val="24"/>
          <w:szCs w:val="24"/>
        </w:rPr>
      </w:pPr>
      <w:r>
        <w:rPr>
          <w:b/>
          <w:bCs/>
          <w:sz w:val="24"/>
          <w:szCs w:val="24"/>
          <w:lang w:val="ru-RU"/>
        </w:rPr>
        <w:t xml:space="preserve">1. </w:t>
      </w:r>
      <w:r>
        <w:rPr>
          <w:b/>
          <w:bCs/>
          <w:sz w:val="24"/>
          <w:szCs w:val="24"/>
        </w:rPr>
        <w:t>Найменування,</w:t>
      </w:r>
      <w:r>
        <w:rPr>
          <w:b/>
          <w:bCs/>
          <w:spacing w:val="-2"/>
          <w:sz w:val="24"/>
          <w:szCs w:val="24"/>
        </w:rPr>
        <w:t xml:space="preserve"> </w:t>
      </w:r>
      <w:r>
        <w:rPr>
          <w:b/>
          <w:bCs/>
          <w:sz w:val="24"/>
          <w:szCs w:val="24"/>
        </w:rPr>
        <w:t>місцезнаходження</w:t>
      </w:r>
      <w:r>
        <w:rPr>
          <w:b/>
          <w:bCs/>
          <w:spacing w:val="-3"/>
          <w:sz w:val="24"/>
          <w:szCs w:val="24"/>
        </w:rPr>
        <w:t xml:space="preserve"> </w:t>
      </w:r>
      <w:r>
        <w:rPr>
          <w:b/>
          <w:bCs/>
          <w:sz w:val="24"/>
          <w:szCs w:val="24"/>
        </w:rPr>
        <w:t>та</w:t>
      </w:r>
      <w:r>
        <w:rPr>
          <w:b/>
          <w:bCs/>
          <w:spacing w:val="-2"/>
          <w:sz w:val="24"/>
          <w:szCs w:val="24"/>
        </w:rPr>
        <w:t xml:space="preserve"> </w:t>
      </w:r>
      <w:r>
        <w:rPr>
          <w:b/>
          <w:bCs/>
          <w:sz w:val="24"/>
          <w:szCs w:val="24"/>
        </w:rPr>
        <w:t>ідентифікаційний</w:t>
      </w:r>
      <w:r>
        <w:rPr>
          <w:b/>
          <w:bCs/>
          <w:spacing w:val="-3"/>
          <w:sz w:val="24"/>
          <w:szCs w:val="24"/>
        </w:rPr>
        <w:t xml:space="preserve"> </w:t>
      </w:r>
      <w:r>
        <w:rPr>
          <w:b/>
          <w:bCs/>
          <w:sz w:val="24"/>
          <w:szCs w:val="24"/>
        </w:rPr>
        <w:t>код</w:t>
      </w:r>
      <w:r>
        <w:rPr>
          <w:b/>
          <w:bCs/>
          <w:spacing w:val="-3"/>
          <w:sz w:val="24"/>
          <w:szCs w:val="24"/>
        </w:rPr>
        <w:t xml:space="preserve"> </w:t>
      </w:r>
      <w:r>
        <w:rPr>
          <w:b/>
          <w:bCs/>
          <w:sz w:val="24"/>
          <w:szCs w:val="24"/>
        </w:rPr>
        <w:t>замовника</w:t>
      </w:r>
      <w:r>
        <w:rPr>
          <w:b/>
          <w:bCs/>
          <w:spacing w:val="-3"/>
          <w:sz w:val="24"/>
          <w:szCs w:val="24"/>
        </w:rPr>
        <w:t xml:space="preserve"> </w:t>
      </w:r>
      <w:r>
        <w:rPr>
          <w:b/>
          <w:bCs/>
          <w:sz w:val="24"/>
          <w:szCs w:val="24"/>
        </w:rPr>
        <w:t>в</w:t>
      </w:r>
      <w:r>
        <w:rPr>
          <w:b/>
          <w:bCs/>
          <w:spacing w:val="-3"/>
          <w:sz w:val="24"/>
          <w:szCs w:val="24"/>
        </w:rPr>
        <w:t xml:space="preserve"> </w:t>
      </w:r>
      <w:r>
        <w:rPr>
          <w:b/>
          <w:bCs/>
          <w:sz w:val="24"/>
          <w:szCs w:val="24"/>
        </w:rPr>
        <w:t>Єдиному державному реєстрі юридичних осіб, фізичних осіб – підприємців та громадських формувань:</w:t>
      </w:r>
      <w:r>
        <w:rPr>
          <w:sz w:val="24"/>
          <w:szCs w:val="24"/>
        </w:rPr>
        <w:t xml:space="preserve"> Відділ культури по Новобаварському району Департаменту культури Харківської міської ради, 61052, Україна, Харківська область, м. Харків, вул. Полтавський шлях, 11, код згідно з ЄДРПОУ – 37460298.</w:t>
      </w:r>
    </w:p>
    <w:p>
      <w:pPr>
        <w:pStyle w:val="ListParagraph"/>
        <w:widowControl/>
        <w:numPr>
          <w:ilvl w:val="0"/>
          <w:numId w:val="0"/>
        </w:numPr>
        <w:tabs>
          <w:tab w:val="left" w:pos="484" w:leader="none"/>
        </w:tabs>
        <w:bidi w:val="0"/>
        <w:spacing w:before="99" w:after="0"/>
        <w:ind w:left="-179" w:right="113" w:hanging="0"/>
        <w:jc w:val="both"/>
        <w:rPr>
          <w:sz w:val="24"/>
          <w:szCs w:val="24"/>
        </w:rPr>
      </w:pPr>
      <w:r>
        <w:rPr>
          <w:sz w:val="24"/>
          <w:szCs w:val="24"/>
        </w:rPr>
        <w:t xml:space="preserve">    </w:t>
      </w:r>
      <w:r>
        <w:rPr>
          <w:sz w:val="24"/>
          <w:szCs w:val="24"/>
          <w:lang w:val="ru-RU"/>
        </w:rPr>
        <w:t xml:space="preserve">2. </w:t>
      </w:r>
      <w:r>
        <w:rPr>
          <w:b/>
          <w:bCs/>
          <w:sz w:val="24"/>
          <w:szCs w:val="24"/>
        </w:rPr>
        <w:t xml:space="preserve">Назва предмета закупівлі із зазначенням коду за Єдиним закупівельним      </w:t>
      </w:r>
    </w:p>
    <w:p>
      <w:pPr>
        <w:pStyle w:val="ListParagraph"/>
        <w:widowControl/>
        <w:numPr>
          <w:ilvl w:val="0"/>
          <w:numId w:val="0"/>
        </w:numPr>
        <w:tabs>
          <w:tab w:val="left" w:pos="484" w:leader="none"/>
        </w:tabs>
        <w:bidi w:val="0"/>
        <w:spacing w:before="99" w:after="0"/>
        <w:ind w:left="104" w:right="113" w:hanging="0"/>
        <w:jc w:val="both"/>
        <w:rPr>
          <w:sz w:val="24"/>
          <w:szCs w:val="24"/>
        </w:rPr>
      </w:pPr>
      <w:r>
        <w:rPr>
          <w:b/>
          <w:bCs/>
          <w:sz w:val="24"/>
          <w:szCs w:val="24"/>
        </w:rPr>
        <w:t>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Pr>
          <w:sz w:val="24"/>
          <w:szCs w:val="24"/>
        </w:rPr>
        <w:t xml:space="preserve"> Електрична енергія (код за ДК 021:2015 — 09310000-5 — Електрична енергія).</w:t>
      </w:r>
    </w:p>
    <w:p>
      <w:pPr>
        <w:pStyle w:val="ListParagraph"/>
        <w:numPr>
          <w:ilvl w:val="0"/>
          <w:numId w:val="0"/>
        </w:numPr>
        <w:tabs>
          <w:tab w:val="left" w:pos="534" w:leader="none"/>
        </w:tabs>
        <w:spacing w:before="102" w:after="0"/>
        <w:ind w:left="208" w:hanging="0"/>
        <w:rPr>
          <w:sz w:val="24"/>
          <w:szCs w:val="24"/>
        </w:rPr>
      </w:pPr>
      <w:r>
        <w:rPr>
          <w:sz w:val="24"/>
          <w:szCs w:val="24"/>
          <w:lang w:val="ru-RU"/>
        </w:rPr>
        <w:t>3</w:t>
      </w:r>
      <w:r>
        <w:rPr>
          <w:b/>
          <w:bCs/>
          <w:sz w:val="24"/>
          <w:szCs w:val="24"/>
          <w:lang w:val="ru-RU"/>
        </w:rPr>
        <w:t xml:space="preserve">. </w:t>
      </w:r>
      <w:r>
        <w:rPr>
          <w:b/>
          <w:bCs/>
          <w:sz w:val="24"/>
          <w:szCs w:val="24"/>
        </w:rPr>
        <w:t>Ідентифікатор закупівлі:</w:t>
      </w:r>
    </w:p>
    <w:p>
      <w:pPr>
        <w:pStyle w:val="ListParagraph"/>
        <w:numPr>
          <w:ilvl w:val="0"/>
          <w:numId w:val="0"/>
        </w:numPr>
        <w:tabs>
          <w:tab w:val="left" w:pos="534" w:leader="none"/>
        </w:tabs>
        <w:spacing w:before="102" w:after="0"/>
        <w:ind w:left="104" w:hanging="0"/>
        <w:rPr>
          <w:sz w:val="24"/>
          <w:szCs w:val="24"/>
        </w:rPr>
      </w:pPr>
      <w:r>
        <w:rPr>
          <w:rFonts w:ascii="Times New Roman" w:hAnsi="Times New Roman"/>
          <w:b/>
          <w:bCs/>
          <w:color w:val="auto"/>
          <w:sz w:val="24"/>
          <w:szCs w:val="24"/>
          <w:u w:val="single"/>
        </w:rPr>
        <w:t xml:space="preserve"> </w:t>
      </w:r>
      <w:r>
        <w:rPr>
          <w:rFonts w:ascii="Times New Roman" w:hAnsi="Times New Roman"/>
          <w:b/>
          <w:bCs/>
          <w:i w:val="false"/>
          <w:caps w:val="false"/>
          <w:smallCaps w:val="false"/>
          <w:color w:val="auto"/>
          <w:spacing w:val="0"/>
          <w:sz w:val="24"/>
          <w:szCs w:val="24"/>
          <w:u w:val="single"/>
        </w:rPr>
        <w:t>UA-2024-11-27-018569-a</w:t>
      </w:r>
      <w:r>
        <w:rPr>
          <w:rFonts w:ascii="Times New Roman" w:hAnsi="Times New Roman"/>
          <w:b/>
          <w:bCs/>
          <w:color w:val="auto"/>
          <w:sz w:val="24"/>
          <w:szCs w:val="24"/>
          <w:u w:val="single"/>
        </w:rPr>
        <w:t xml:space="preserve"> </w:t>
      </w:r>
      <w:r>
        <w:rPr>
          <w:rFonts w:eastAsia="Times New Roman"/>
          <w:b/>
          <w:bCs/>
          <w:color w:val="auto"/>
          <w:sz w:val="24"/>
          <w:szCs w:val="24"/>
          <w:u w:val="single"/>
          <w:lang w:eastAsia="uk-UA"/>
        </w:rPr>
        <w:t xml:space="preserve"> Відкриті торги з особливостями, (торги проводяться через ЦЗО)</w:t>
      </w:r>
      <w:r>
        <w:rPr>
          <w:b/>
          <w:bCs/>
          <w:color w:val="auto"/>
          <w:sz w:val="24"/>
          <w:szCs w:val="24"/>
          <w:u w:val="single"/>
        </w:rPr>
        <w:t> </w:t>
      </w:r>
    </w:p>
    <w:p>
      <w:pPr>
        <w:pStyle w:val="ListParagraph"/>
        <w:numPr>
          <w:ilvl w:val="0"/>
          <w:numId w:val="0"/>
        </w:numPr>
        <w:tabs>
          <w:tab w:val="left" w:pos="851" w:leader="none"/>
        </w:tabs>
        <w:spacing w:lineRule="auto" w:line="240" w:before="0" w:after="0"/>
        <w:ind w:left="786" w:hanging="0"/>
        <w:jc w:val="both"/>
        <w:rPr>
          <w:sz w:val="24"/>
          <w:szCs w:val="24"/>
        </w:rPr>
      </w:pPr>
      <w:r>
        <w:rPr>
          <w:rFonts w:eastAsia="Times New Roman"/>
          <w:b/>
          <w:sz w:val="24"/>
          <w:szCs w:val="24"/>
          <w:lang w:val="ru-RU" w:eastAsia="ru-RU"/>
        </w:rPr>
        <w:t xml:space="preserve">4, </w:t>
      </w:r>
      <w:r>
        <w:rPr>
          <w:rFonts w:eastAsia="Times New Roman"/>
          <w:b/>
          <w:sz w:val="24"/>
          <w:szCs w:val="24"/>
          <w:lang w:eastAsia="ru-RU"/>
        </w:rPr>
        <w:t>Обґрунтування технічних та якісних характеристик предмета закупівлі:</w:t>
      </w:r>
    </w:p>
    <w:p>
      <w:pPr>
        <w:pStyle w:val="ListParagraph"/>
        <w:shd w:val="clear" w:color="auto" w:fill="FFFFFF"/>
        <w:spacing w:lineRule="atLeast" w:line="345" w:before="0" w:after="495"/>
        <w:ind w:left="0" w:firstLine="426"/>
        <w:contextualSpacing/>
        <w:jc w:val="both"/>
        <w:rPr>
          <w:sz w:val="24"/>
          <w:szCs w:val="24"/>
        </w:rPr>
      </w:pPr>
      <w:r>
        <w:rPr>
          <w:rFonts w:eastAsia="Times New Roman"/>
          <w:sz w:val="24"/>
          <w:szCs w:val="24"/>
          <w:lang w:eastAsia="uk-UA"/>
        </w:rPr>
        <w:t xml:space="preserve">Строк поставки: з 01.01.2025 до 31.12.2025 (включно). З метою належного функціонування </w:t>
      </w:r>
      <w:r>
        <w:rPr>
          <w:rFonts w:eastAsia="Times New Roman"/>
          <w:sz w:val="24"/>
          <w:szCs w:val="24"/>
          <w:lang w:eastAsia="uk-UA"/>
        </w:rPr>
        <w:t xml:space="preserve">в заклади культури </w:t>
      </w:r>
      <w:r>
        <w:rPr>
          <w:rFonts w:eastAsia="Times New Roman"/>
          <w:sz w:val="24"/>
          <w:szCs w:val="24"/>
          <w:lang w:eastAsia="uk-UA"/>
        </w:rPr>
        <w:t xml:space="preserve"> електрична енергія постачається безперебійно.</w:t>
      </w:r>
    </w:p>
    <w:p>
      <w:pPr>
        <w:pStyle w:val="ListParagraph"/>
        <w:shd w:val="clear" w:color="auto" w:fill="FFFFFF"/>
        <w:spacing w:lineRule="atLeast" w:line="345" w:before="0" w:after="495"/>
        <w:ind w:left="0" w:hanging="0"/>
        <w:contextualSpacing/>
        <w:jc w:val="both"/>
        <w:rPr>
          <w:sz w:val="24"/>
          <w:szCs w:val="24"/>
        </w:rPr>
      </w:pPr>
      <w:r>
        <w:rPr>
          <w:rFonts w:eastAsia="Times New Roman"/>
          <w:sz w:val="24"/>
          <w:szCs w:val="24"/>
          <w:lang w:eastAsia="uk-UA"/>
        </w:rPr>
        <w:t xml:space="preserve">Місце поставки: 61000 , Україна , Харківська область , Харків , вул. Москалівська, 142; </w:t>
      </w:r>
      <w:r>
        <w:rPr>
          <w:rFonts w:eastAsia="Times New Roman"/>
          <w:sz w:val="24"/>
          <w:szCs w:val="24"/>
          <w:lang w:eastAsia="uk-UA"/>
        </w:rPr>
        <w:t>бул. Гончарівський</w:t>
      </w:r>
      <w:r>
        <w:rPr>
          <w:rFonts w:eastAsia="Times New Roman"/>
          <w:sz w:val="24"/>
          <w:szCs w:val="24"/>
          <w:lang w:eastAsia="uk-UA"/>
        </w:rPr>
        <w:t xml:space="preserve">, 17; вул. </w:t>
      </w:r>
      <w:r>
        <w:rPr>
          <w:rFonts w:eastAsia="Times New Roman"/>
          <w:sz w:val="24"/>
          <w:szCs w:val="24"/>
          <w:lang w:eastAsia="uk-UA"/>
        </w:rPr>
        <w:t>Посольська</w:t>
      </w:r>
      <w:r>
        <w:rPr>
          <w:rFonts w:eastAsia="Times New Roman"/>
          <w:sz w:val="24"/>
          <w:szCs w:val="24"/>
          <w:lang w:eastAsia="uk-UA"/>
        </w:rPr>
        <w:t>, 22; пров. Рубанівський, 2; вул. Полтавський шлях, 57/59 вул. Володимирська, 35; вул. Дудинської, 6; вул.</w:t>
      </w:r>
      <w:r>
        <w:rPr>
          <w:rFonts w:eastAsia="Times New Roman"/>
          <w:sz w:val="24"/>
          <w:szCs w:val="24"/>
          <w:lang w:eastAsia="uk-UA"/>
        </w:rPr>
        <w:t>Іллі Коваля</w:t>
      </w:r>
      <w:r>
        <w:rPr>
          <w:rFonts w:eastAsia="Times New Roman"/>
          <w:sz w:val="24"/>
          <w:szCs w:val="24"/>
          <w:lang w:eastAsia="uk-UA"/>
        </w:rPr>
        <w:t xml:space="preserve">, 37; просп. Ново-Баварський, 95; </w:t>
      </w:r>
      <w:r>
        <w:rPr>
          <w:rFonts w:eastAsia="Times New Roman"/>
          <w:sz w:val="24"/>
          <w:szCs w:val="24"/>
          <w:lang w:eastAsia="uk-UA"/>
        </w:rPr>
        <w:t>бул. Гончарівський</w:t>
      </w:r>
      <w:r>
        <w:rPr>
          <w:rFonts w:eastAsia="Times New Roman"/>
          <w:sz w:val="24"/>
          <w:szCs w:val="24"/>
          <w:lang w:eastAsia="uk-UA"/>
        </w:rPr>
        <w:t>, 13; вул. Академіка Богомольця, 1</w:t>
      </w:r>
      <w:r>
        <w:rPr>
          <w:rFonts w:eastAsia="Times New Roman"/>
          <w:sz w:val="24"/>
          <w:szCs w:val="24"/>
          <w:lang w:eastAsia="uk-UA"/>
        </w:rPr>
        <w:t>А.</w:t>
      </w:r>
      <w:r>
        <w:rPr>
          <w:rFonts w:eastAsia="Times New Roman"/>
          <w:sz w:val="24"/>
          <w:szCs w:val="24"/>
          <w:lang w:eastAsia="uk-UA"/>
        </w:rPr>
        <w:t xml:space="preserve"> </w:t>
      </w:r>
    </w:p>
    <w:p>
      <w:pPr>
        <w:pStyle w:val="ListParagraph"/>
        <w:shd w:val="clear" w:color="auto" w:fill="FFFFFF"/>
        <w:spacing w:lineRule="atLeast" w:line="345" w:before="0" w:after="495"/>
        <w:ind w:left="0" w:hanging="0"/>
        <w:contextualSpacing/>
        <w:jc w:val="both"/>
        <w:rPr>
          <w:sz w:val="24"/>
          <w:szCs w:val="24"/>
        </w:rPr>
      </w:pPr>
      <w:r>
        <w:rPr>
          <w:sz w:val="24"/>
          <w:szCs w:val="24"/>
        </w:rPr>
        <w:t xml:space="preserve">Кількість: </w:t>
      </w:r>
      <w:r>
        <w:rPr>
          <w:sz w:val="24"/>
          <w:szCs w:val="24"/>
        </w:rPr>
        <w:t>21031</w:t>
      </w:r>
      <w:r>
        <w:rPr>
          <w:sz w:val="24"/>
          <w:szCs w:val="24"/>
          <w:lang w:val="ru-RU"/>
        </w:rPr>
        <w:t xml:space="preserve"> </w:t>
      </w:r>
      <w:r>
        <w:rPr>
          <w:sz w:val="24"/>
          <w:szCs w:val="24"/>
        </w:rPr>
        <w:t>Кіловат-година.</w:t>
      </w:r>
    </w:p>
    <w:p>
      <w:pPr>
        <w:pStyle w:val="ListParagraph"/>
        <w:shd w:val="clear" w:color="auto" w:fill="FFFFFF"/>
        <w:spacing w:lineRule="atLeast" w:line="345" w:before="0" w:after="495"/>
        <w:ind w:left="0" w:hanging="0"/>
        <w:contextualSpacing/>
        <w:jc w:val="both"/>
        <w:rPr>
          <w:sz w:val="24"/>
          <w:szCs w:val="24"/>
        </w:rPr>
      </w:pPr>
      <w:r>
        <w:rPr>
          <w:rFonts w:eastAsia="Times New Roman"/>
          <w:sz w:val="24"/>
          <w:szCs w:val="24"/>
          <w:lang w:eastAsia="uk-UA"/>
        </w:rPr>
        <w:t>Строк поставки товарів: з 01-01-2024 по 31-12-2024.</w:t>
      </w:r>
    </w:p>
    <w:p>
      <w:pPr>
        <w:pStyle w:val="ListParagraph"/>
        <w:shd w:val="clear" w:color="auto" w:fill="FFFFFF"/>
        <w:spacing w:lineRule="atLeast" w:line="345" w:before="0" w:after="495"/>
        <w:ind w:left="0" w:hanging="0"/>
        <w:contextualSpacing/>
        <w:jc w:val="both"/>
        <w:rPr>
          <w:sz w:val="24"/>
          <w:szCs w:val="24"/>
        </w:rPr>
      </w:pPr>
      <w:r>
        <w:rPr>
          <w:rFonts w:eastAsia="Times New Roman"/>
          <w:sz w:val="24"/>
          <w:szCs w:val="24"/>
          <w:lang w:eastAsia="uk-UA"/>
        </w:rPr>
        <w:tab/>
        <w:t>Технічні та якісні характеристики предмету закупівлі, що закуповується повинні відповідати технічним умовам та стандартам, передбаченим законодавством України чинні на період постачання товару. Учасник визначає ціни на товари, які він пропонує поставити за Договором, з урахуванням усіх своїх витрат, які можуть бути ним понесені у ході виконання договору. Постачання: безперебійне, 24 години на добу, 7 днів на тиждень. Клас напруги: 2. Група площадок вимірювання; «б».</w:t>
      </w:r>
    </w:p>
    <w:p>
      <w:pPr>
        <w:pStyle w:val="ListParagraph"/>
        <w:shd w:val="clear" w:color="auto" w:fill="FFFFFF"/>
        <w:spacing w:lineRule="atLeast" w:line="345" w:before="0" w:after="495"/>
        <w:ind w:left="0" w:hanging="0"/>
        <w:contextualSpacing/>
        <w:jc w:val="both"/>
        <w:rPr>
          <w:sz w:val="24"/>
          <w:szCs w:val="24"/>
        </w:rPr>
      </w:pPr>
      <w:r>
        <w:rPr>
          <w:rFonts w:eastAsia="Times New Roman"/>
          <w:sz w:val="24"/>
          <w:szCs w:val="24"/>
          <w:lang w:eastAsia="uk-UA"/>
        </w:rPr>
        <w:tab/>
        <w:t>Якість електричної енергії - це сукупність властивостей електричної енергії відповідно до встановлених стандартів, які визначають ступінь її придатності для використання за призначення. Відповідно до положень пункту 11.4.6 глави 11.4 розділу XI Кодексу систем розподілу, затвердженого постановою НКРЕКП від 14.03.2018 № 310 (далі – КСР), параметри якості електроенергії в точках приєднання споживачів в нормальних умовах експлуатації мають відповідати параметрам, визначеним у ДСТУ EN 50160:2023 «Характеристики напруги електропостачання в електричних мережах загальної призначеності» (далі – ДСТУ EN 50160:2023). Товар повинен відповідати показникам якості безпеки, які встановлюються законодавством України та діючими стандартами.</w:t>
      </w:r>
    </w:p>
    <w:p>
      <w:pPr>
        <w:pStyle w:val="ListParagraph"/>
        <w:shd w:val="clear" w:color="auto" w:fill="FFFFFF"/>
        <w:spacing w:lineRule="atLeast" w:line="345" w:before="0" w:after="495"/>
        <w:ind w:left="0" w:hanging="0"/>
        <w:contextualSpacing/>
        <w:jc w:val="both"/>
        <w:rPr>
          <w:sz w:val="24"/>
          <w:szCs w:val="24"/>
        </w:rPr>
      </w:pPr>
      <w:r>
        <w:rPr>
          <w:rFonts w:eastAsia="Times New Roman"/>
          <w:b/>
          <w:sz w:val="24"/>
          <w:szCs w:val="24"/>
          <w:lang w:eastAsia="ru-RU"/>
        </w:rPr>
        <w:t xml:space="preserve">5. </w:t>
      </w:r>
      <w:r>
        <w:rPr>
          <w:rFonts w:eastAsia="Times New Roman"/>
          <w:b/>
          <w:sz w:val="24"/>
          <w:szCs w:val="24"/>
          <w:lang w:eastAsia="ru-RU"/>
        </w:rPr>
        <w:t>Обґрунтування розміру бюджетного призначення:</w:t>
      </w:r>
      <w:r>
        <w:rPr>
          <w:rFonts w:eastAsia="Times New Roman"/>
          <w:sz w:val="24"/>
          <w:szCs w:val="24"/>
          <w:lang w:eastAsia="ru-RU"/>
        </w:rPr>
        <w:t xml:space="preserve">Кошти місцевого бюджету у сумі </w:t>
      </w:r>
      <w:r>
        <w:rPr>
          <w:rFonts w:cs="Times New Roman"/>
          <w:b/>
          <w:sz w:val="24"/>
          <w:szCs w:val="24"/>
          <w:shd w:fill="FFFFFF" w:val="clear"/>
        </w:rPr>
        <w:t>170561,41 грн.</w:t>
      </w:r>
      <w:r>
        <w:rPr>
          <w:sz w:val="24"/>
          <w:szCs w:val="24"/>
          <w:shd w:fill="FFFFFF" w:val="clear"/>
        </w:rPr>
        <w:t xml:space="preserve"> з ПДВ.</w:t>
      </w:r>
    </w:p>
    <w:p>
      <w:pPr>
        <w:pStyle w:val="ListParagraph"/>
        <w:numPr>
          <w:ilvl w:val="0"/>
          <w:numId w:val="0"/>
        </w:numPr>
        <w:tabs>
          <w:tab w:val="left" w:pos="851" w:leader="none"/>
        </w:tabs>
        <w:spacing w:lineRule="auto" w:line="240" w:before="0" w:after="0"/>
        <w:ind w:left="786" w:hanging="0"/>
        <w:contextualSpacing/>
        <w:jc w:val="both"/>
        <w:rPr>
          <w:sz w:val="24"/>
          <w:szCs w:val="24"/>
        </w:rPr>
      </w:pPr>
      <w:r>
        <w:rPr>
          <w:rFonts w:eastAsia="Times New Roman"/>
          <w:b/>
          <w:sz w:val="24"/>
          <w:szCs w:val="24"/>
          <w:lang w:eastAsia="ru-RU"/>
        </w:rPr>
        <w:t xml:space="preserve">6. </w:t>
      </w:r>
      <w:r>
        <w:rPr>
          <w:rFonts w:eastAsia="Times New Roman"/>
          <w:b/>
          <w:sz w:val="24"/>
          <w:szCs w:val="24"/>
          <w:lang w:eastAsia="ru-RU"/>
        </w:rPr>
        <w:t xml:space="preserve">Очікувана вартість предмета закупівлі: </w:t>
      </w:r>
      <w:r>
        <w:rPr>
          <w:sz w:val="24"/>
          <w:szCs w:val="24"/>
        </w:rPr>
        <w:t>349232,82 грн., з ПДВ.</w:t>
      </w:r>
      <w:r>
        <w:rPr>
          <w:rFonts w:eastAsia="Times New Roman"/>
          <w:bCs/>
          <w:sz w:val="24"/>
          <w:szCs w:val="24"/>
          <w:lang w:eastAsia="ru-RU"/>
        </w:rPr>
        <w:t xml:space="preserve"> </w:t>
      </w:r>
      <w:r>
        <w:rPr>
          <w:sz w:val="24"/>
          <w:szCs w:val="24"/>
          <w:shd w:fill="FFFFFF" w:val="clear"/>
        </w:rPr>
        <w:t>з них за рахунок бюджету 330498,72 грн., за рахунок відшкодування орендаря 18734,10 грн.</w:t>
      </w:r>
    </w:p>
    <w:p>
      <w:pPr>
        <w:pStyle w:val="ListParagraph"/>
        <w:shd w:val="clear" w:color="auto" w:fill="FFFFFF"/>
        <w:tabs>
          <w:tab w:val="left" w:pos="851" w:leader="none"/>
        </w:tabs>
        <w:spacing w:lineRule="auto" w:line="240" w:before="0" w:after="0"/>
        <w:ind w:left="786" w:hanging="0"/>
        <w:contextualSpacing/>
        <w:jc w:val="both"/>
        <w:rPr>
          <w:rFonts w:ascii="Times New Roman" w:hAnsi="Times New Roman" w:eastAsia="Times New Roman"/>
          <w:sz w:val="24"/>
          <w:szCs w:val="24"/>
          <w:lang w:eastAsia="ru-RU"/>
        </w:rPr>
      </w:pPr>
      <w:r>
        <w:rPr>
          <w:rFonts w:eastAsia="Times New Roman"/>
          <w:sz w:val="24"/>
          <w:szCs w:val="24"/>
          <w:lang w:eastAsia="ru-RU"/>
        </w:rPr>
      </w:r>
    </w:p>
    <w:p>
      <w:pPr>
        <w:pStyle w:val="ListParagraph"/>
        <w:numPr>
          <w:ilvl w:val="0"/>
          <w:numId w:val="0"/>
        </w:numPr>
        <w:tabs>
          <w:tab w:val="left" w:pos="851" w:leader="none"/>
        </w:tabs>
        <w:spacing w:lineRule="auto" w:line="240" w:before="0" w:after="0"/>
        <w:ind w:left="786" w:hanging="0"/>
        <w:contextualSpacing/>
        <w:jc w:val="both"/>
        <w:rPr>
          <w:sz w:val="24"/>
          <w:szCs w:val="24"/>
        </w:rPr>
      </w:pPr>
      <w:r>
        <w:rPr>
          <w:rFonts w:eastAsia="Times New Roman"/>
          <w:b/>
          <w:sz w:val="24"/>
          <w:szCs w:val="24"/>
          <w:lang w:eastAsia="ru-RU"/>
        </w:rPr>
        <w:t xml:space="preserve">7. </w:t>
      </w:r>
      <w:r>
        <w:rPr>
          <w:rFonts w:eastAsia="Times New Roman"/>
          <w:b/>
          <w:sz w:val="24"/>
          <w:szCs w:val="24"/>
          <w:lang w:eastAsia="ru-RU"/>
        </w:rPr>
        <w:t xml:space="preserve">Очікувана вартість предмета закупівлі: </w:t>
      </w:r>
      <w:r>
        <w:rPr>
          <w:rFonts w:cs="Times New Roman"/>
          <w:b/>
          <w:sz w:val="24"/>
          <w:szCs w:val="24"/>
        </w:rPr>
        <w:t>170561,41 грн.</w:t>
      </w:r>
      <w:r>
        <w:rPr>
          <w:sz w:val="24"/>
          <w:szCs w:val="24"/>
        </w:rPr>
        <w:t xml:space="preserve"> з ПДВ.</w:t>
      </w:r>
    </w:p>
    <w:p>
      <w:pPr>
        <w:pStyle w:val="ListParagraph"/>
        <w:numPr>
          <w:ilvl w:val="0"/>
          <w:numId w:val="0"/>
        </w:numPr>
        <w:tabs>
          <w:tab w:val="left" w:pos="851" w:leader="none"/>
        </w:tabs>
        <w:spacing w:lineRule="auto" w:line="240" w:before="0" w:after="0"/>
        <w:ind w:left="786" w:hanging="0"/>
        <w:jc w:val="both"/>
        <w:rPr>
          <w:sz w:val="24"/>
          <w:szCs w:val="24"/>
        </w:rPr>
      </w:pPr>
      <w:r>
        <w:rPr>
          <w:rFonts w:eastAsia="Times New Roman"/>
          <w:b/>
          <w:sz w:val="24"/>
          <w:szCs w:val="24"/>
          <w:lang w:eastAsia="ru-RU"/>
        </w:rPr>
        <w:t xml:space="preserve">8. </w:t>
      </w:r>
      <w:r>
        <w:rPr>
          <w:rFonts w:eastAsia="Times New Roman"/>
          <w:b/>
          <w:sz w:val="24"/>
          <w:szCs w:val="24"/>
          <w:lang w:eastAsia="ru-RU"/>
        </w:rPr>
        <w:t>Обґрунтування очікуваної вартості предмета закупівлі:</w:t>
      </w:r>
    </w:p>
    <w:p>
      <w:pPr>
        <w:pStyle w:val="Normal"/>
        <w:spacing w:lineRule="auto" w:line="240" w:before="0" w:after="0"/>
        <w:ind w:left="851" w:hanging="0"/>
        <w:rPr>
          <w:sz w:val="24"/>
          <w:szCs w:val="24"/>
        </w:rPr>
      </w:pPr>
      <w:r>
        <w:rPr>
          <w:rFonts w:eastAsia="Times New Roman"/>
          <w:sz w:val="24"/>
          <w:szCs w:val="24"/>
          <w:lang w:eastAsia="ru-RU"/>
        </w:rPr>
        <w:t>Очікувану вартість предмету закупівлі визначено за формулою:</w:t>
      </w:r>
    </w:p>
    <w:p>
      <w:pPr>
        <w:pStyle w:val="Normal"/>
        <w:ind w:left="851" w:hanging="0"/>
        <w:rPr>
          <w:sz w:val="24"/>
          <w:szCs w:val="24"/>
        </w:rPr>
      </w:pPr>
      <w:r>
        <w:rPr>
          <w:sz w:val="24"/>
          <w:szCs w:val="24"/>
        </w:rPr>
        <w:t>Розрахунок очікуваної вартості за 1 кВт/год (+передача):</w:t>
      </w:r>
    </w:p>
    <w:p>
      <w:pPr>
        <w:pStyle w:val="Normal"/>
        <w:ind w:left="851" w:hanging="0"/>
        <w:rPr>
          <w:rFonts w:ascii="Times New Roman" w:hAnsi="Times New Roman"/>
        </w:rPr>
      </w:pPr>
      <w:r>
        <w:rPr>
          <w:sz w:val="24"/>
          <w:szCs w:val="24"/>
        </w:rPr>
      </w:r>
    </w:p>
    <w:tbl>
      <w:tblPr>
        <w:tblpPr w:bottomFromText="0" w:horzAnchor="margin" w:leftFromText="180" w:rightFromText="180" w:tblpX="0" w:tblpY="3511" w:topFromText="0" w:vertAnchor="page"/>
        <w:tblW w:w="9351"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93" w:type="dxa"/>
          <w:bottom w:w="0" w:type="dxa"/>
          <w:right w:w="108" w:type="dxa"/>
        </w:tblCellMar>
        <w:tblLook w:firstRow="1" w:noVBand="0" w:lastRow="0" w:firstColumn="1" w:lastColumn="0" w:noHBand="0" w:val="00a0"/>
      </w:tblPr>
      <w:tblGrid>
        <w:gridCol w:w="433"/>
        <w:gridCol w:w="4384"/>
        <w:gridCol w:w="1277"/>
        <w:gridCol w:w="3257"/>
      </w:tblGrid>
      <w:tr>
        <w:trPr>
          <w:trHeight w:val="228" w:hRule="atLeast"/>
        </w:trPr>
        <w:tc>
          <w:tcPr>
            <w:tcW w:w="4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jc w:val="center"/>
              <w:rPr>
                <w:sz w:val="24"/>
                <w:szCs w:val="24"/>
              </w:rPr>
            </w:pPr>
            <w:r>
              <w:rPr>
                <w:rFonts w:cs="Times New Roman"/>
                <w:b/>
                <w:i/>
                <w:sz w:val="24"/>
                <w:szCs w:val="24"/>
              </w:rPr>
              <w:t>№</w:t>
            </w:r>
          </w:p>
        </w:tc>
        <w:tc>
          <w:tcPr>
            <w:tcW w:w="43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jc w:val="center"/>
              <w:rPr>
                <w:sz w:val="24"/>
                <w:szCs w:val="24"/>
              </w:rPr>
            </w:pPr>
            <w:r>
              <w:rPr>
                <w:rFonts w:cs="Times New Roman"/>
                <w:b/>
                <w:i/>
                <w:sz w:val="24"/>
                <w:szCs w:val="24"/>
              </w:rPr>
              <w:t>Показник</w:t>
            </w:r>
          </w:p>
        </w:tc>
        <w:tc>
          <w:tcPr>
            <w:tcW w:w="127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jc w:val="center"/>
              <w:rPr>
                <w:sz w:val="24"/>
                <w:szCs w:val="24"/>
              </w:rPr>
            </w:pPr>
            <w:r>
              <w:rPr>
                <w:rFonts w:cs="Times New Roman"/>
                <w:b/>
                <w:i/>
                <w:sz w:val="24"/>
                <w:szCs w:val="24"/>
              </w:rPr>
              <w:t>Значення</w:t>
            </w:r>
          </w:p>
        </w:tc>
        <w:tc>
          <w:tcPr>
            <w:tcW w:w="325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jc w:val="center"/>
              <w:rPr>
                <w:sz w:val="24"/>
                <w:szCs w:val="24"/>
              </w:rPr>
            </w:pPr>
            <w:r>
              <w:rPr>
                <w:rFonts w:cs="Times New Roman"/>
                <w:b/>
                <w:i/>
                <w:sz w:val="24"/>
                <w:szCs w:val="24"/>
              </w:rPr>
              <w:t>Примітка</w:t>
            </w:r>
          </w:p>
        </w:tc>
      </w:tr>
      <w:tr>
        <w:trPr/>
        <w:tc>
          <w:tcPr>
            <w:tcW w:w="4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rPr>
                <w:sz w:val="24"/>
                <w:szCs w:val="24"/>
              </w:rPr>
            </w:pPr>
            <w:r>
              <w:rPr>
                <w:rFonts w:cs="Times New Roman"/>
                <w:sz w:val="24"/>
                <w:szCs w:val="24"/>
              </w:rPr>
              <w:t>1.</w:t>
            </w:r>
          </w:p>
        </w:tc>
        <w:tc>
          <w:tcPr>
            <w:tcW w:w="43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rPr>
                <w:sz w:val="24"/>
                <w:szCs w:val="24"/>
              </w:rPr>
            </w:pPr>
            <w:r>
              <w:rPr>
                <w:rFonts w:cs="Times New Roman"/>
                <w:sz w:val="24"/>
                <w:szCs w:val="24"/>
              </w:rPr>
              <w:t>Середньозважена ціна РДН за</w:t>
            </w:r>
            <w:r>
              <w:rPr>
                <w:rFonts w:cs="Times New Roman"/>
                <w:sz w:val="24"/>
                <w:szCs w:val="24"/>
                <w:lang w:val="ru-RU"/>
              </w:rPr>
              <w:t xml:space="preserve"> </w:t>
            </w:r>
            <w:r>
              <w:rPr>
                <w:rFonts w:cs="Times New Roman"/>
                <w:sz w:val="24"/>
                <w:szCs w:val="24"/>
              </w:rPr>
              <w:t>жовтень</w:t>
            </w:r>
          </w:p>
        </w:tc>
        <w:tc>
          <w:tcPr>
            <w:tcW w:w="127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jc w:val="center"/>
              <w:rPr>
                <w:sz w:val="24"/>
                <w:szCs w:val="24"/>
              </w:rPr>
            </w:pPr>
            <w:r>
              <w:rPr>
                <w:rFonts w:cs="Times New Roman"/>
                <w:sz w:val="24"/>
                <w:szCs w:val="24"/>
              </w:rPr>
              <w:t>5,</w:t>
            </w:r>
            <w:r>
              <w:rPr>
                <w:rFonts w:cs="Times New Roman"/>
                <w:sz w:val="24"/>
                <w:szCs w:val="24"/>
                <w:lang w:val="ru-RU"/>
              </w:rPr>
              <w:t>65997</w:t>
            </w:r>
          </w:p>
        </w:tc>
        <w:tc>
          <w:tcPr>
            <w:tcW w:w="325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jc w:val="center"/>
              <w:rPr>
                <w:sz w:val="24"/>
                <w:szCs w:val="24"/>
              </w:rPr>
            </w:pPr>
            <w:r>
              <w:rPr>
                <w:rFonts w:cs="Times New Roman"/>
                <w:sz w:val="24"/>
                <w:szCs w:val="24"/>
              </w:rPr>
              <w:t>Сайт ДП «Оператор ринка» https://www.oree.com.ua/</w:t>
            </w:r>
          </w:p>
        </w:tc>
      </w:tr>
      <w:tr>
        <w:trPr/>
        <w:tc>
          <w:tcPr>
            <w:tcW w:w="4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rPr>
                <w:sz w:val="24"/>
                <w:szCs w:val="24"/>
              </w:rPr>
            </w:pPr>
            <w:r>
              <w:rPr>
                <w:rFonts w:cs="Times New Roman"/>
                <w:sz w:val="24"/>
                <w:szCs w:val="24"/>
              </w:rPr>
              <w:t>2.</w:t>
            </w:r>
          </w:p>
        </w:tc>
        <w:tc>
          <w:tcPr>
            <w:tcW w:w="43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rPr>
                <w:sz w:val="24"/>
                <w:szCs w:val="24"/>
              </w:rPr>
            </w:pPr>
            <w:r>
              <w:rPr>
                <w:rFonts w:cs="Times New Roman"/>
                <w:sz w:val="24"/>
                <w:szCs w:val="24"/>
              </w:rPr>
              <w:t xml:space="preserve">Тариф на послуги передача НЕК «Укренерго» </w:t>
            </w:r>
          </w:p>
        </w:tc>
        <w:tc>
          <w:tcPr>
            <w:tcW w:w="127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jc w:val="center"/>
              <w:rPr>
                <w:sz w:val="24"/>
                <w:szCs w:val="24"/>
              </w:rPr>
            </w:pPr>
            <w:r>
              <w:rPr>
                <w:rFonts w:cs="Times New Roman"/>
                <w:sz w:val="24"/>
                <w:szCs w:val="24"/>
              </w:rPr>
              <w:t>0,52857</w:t>
            </w:r>
          </w:p>
        </w:tc>
        <w:tc>
          <w:tcPr>
            <w:tcW w:w="325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jc w:val="center"/>
              <w:rPr>
                <w:sz w:val="24"/>
                <w:szCs w:val="24"/>
              </w:rPr>
            </w:pPr>
            <w:r>
              <w:rPr>
                <w:rFonts w:cs="Times New Roman"/>
                <w:sz w:val="24"/>
                <w:szCs w:val="24"/>
              </w:rPr>
              <w:t>Постанова НКРЕКП № 2322 від 09.12.2023</w:t>
            </w:r>
          </w:p>
        </w:tc>
      </w:tr>
      <w:tr>
        <w:trPr>
          <w:trHeight w:val="316" w:hRule="atLeast"/>
        </w:trPr>
        <w:tc>
          <w:tcPr>
            <w:tcW w:w="4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rPr>
                <w:sz w:val="24"/>
                <w:szCs w:val="24"/>
              </w:rPr>
            </w:pPr>
            <w:r>
              <w:rPr>
                <w:rFonts w:cs="Times New Roman"/>
                <w:sz w:val="24"/>
                <w:szCs w:val="24"/>
              </w:rPr>
              <w:t>3.</w:t>
            </w:r>
          </w:p>
        </w:tc>
        <w:tc>
          <w:tcPr>
            <w:tcW w:w="43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rPr>
                <w:sz w:val="24"/>
                <w:szCs w:val="24"/>
              </w:rPr>
            </w:pPr>
            <w:r>
              <w:rPr>
                <w:rFonts w:cs="Times New Roman"/>
                <w:sz w:val="24"/>
                <w:szCs w:val="24"/>
              </w:rPr>
              <w:t>Тариф постачальника</w:t>
            </w:r>
          </w:p>
        </w:tc>
        <w:tc>
          <w:tcPr>
            <w:tcW w:w="127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jc w:val="center"/>
              <w:rPr>
                <w:sz w:val="24"/>
                <w:szCs w:val="24"/>
              </w:rPr>
            </w:pPr>
            <w:r>
              <w:rPr>
                <w:rFonts w:cs="Times New Roman"/>
                <w:sz w:val="24"/>
                <w:szCs w:val="24"/>
              </w:rPr>
              <w:t>0, 5</w:t>
            </w:r>
            <w:r>
              <w:rPr>
                <w:rFonts w:cs="Times New Roman"/>
                <w:sz w:val="24"/>
                <w:szCs w:val="24"/>
                <w:lang w:val="ru-RU"/>
              </w:rPr>
              <w:t>65997</w:t>
            </w:r>
          </w:p>
        </w:tc>
        <w:tc>
          <w:tcPr>
            <w:tcW w:w="325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jc w:val="center"/>
              <w:rPr>
                <w:sz w:val="24"/>
                <w:szCs w:val="24"/>
              </w:rPr>
            </w:pPr>
            <w:r>
              <w:rPr>
                <w:rFonts w:cs="Times New Roman"/>
                <w:b/>
                <w:sz w:val="24"/>
                <w:szCs w:val="24"/>
              </w:rPr>
              <w:t>10 %</w:t>
            </w:r>
            <w:r>
              <w:rPr>
                <w:rFonts w:cs="Times New Roman"/>
                <w:sz w:val="24"/>
                <w:szCs w:val="24"/>
              </w:rPr>
              <w:t xml:space="preserve"> від ціни в п. 1</w:t>
            </w:r>
          </w:p>
        </w:tc>
      </w:tr>
      <w:tr>
        <w:trPr>
          <w:trHeight w:val="291" w:hRule="atLeast"/>
        </w:trPr>
        <w:tc>
          <w:tcPr>
            <w:tcW w:w="4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rPr>
                <w:sz w:val="24"/>
                <w:szCs w:val="24"/>
              </w:rPr>
            </w:pPr>
            <w:r>
              <w:rPr>
                <w:rFonts w:cs="Times New Roman"/>
                <w:sz w:val="24"/>
                <w:szCs w:val="24"/>
              </w:rPr>
              <w:t>4.</w:t>
            </w:r>
          </w:p>
        </w:tc>
        <w:tc>
          <w:tcPr>
            <w:tcW w:w="43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jc w:val="right"/>
              <w:rPr>
                <w:sz w:val="24"/>
                <w:szCs w:val="24"/>
              </w:rPr>
            </w:pPr>
            <w:r>
              <w:rPr>
                <w:rFonts w:cs="Times New Roman"/>
                <w:b/>
                <w:sz w:val="24"/>
                <w:szCs w:val="24"/>
              </w:rPr>
              <w:t>Всього без ПДВ:</w:t>
            </w:r>
          </w:p>
        </w:tc>
        <w:tc>
          <w:tcPr>
            <w:tcW w:w="127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jc w:val="center"/>
              <w:rPr>
                <w:sz w:val="24"/>
                <w:szCs w:val="24"/>
              </w:rPr>
            </w:pPr>
            <w:r>
              <w:rPr>
                <w:rFonts w:cs="Times New Roman"/>
                <w:sz w:val="24"/>
                <w:szCs w:val="24"/>
                <w:lang w:val="ru-RU"/>
              </w:rPr>
              <w:t>6</w:t>
            </w:r>
            <w:r>
              <w:rPr>
                <w:rFonts w:cs="Times New Roman"/>
                <w:sz w:val="24"/>
                <w:szCs w:val="24"/>
              </w:rPr>
              <w:t>,</w:t>
            </w:r>
            <w:r>
              <w:rPr>
                <w:rFonts w:cs="Times New Roman"/>
                <w:sz w:val="24"/>
                <w:szCs w:val="24"/>
                <w:lang w:val="ru-RU"/>
              </w:rPr>
              <w:t>754537</w:t>
            </w:r>
          </w:p>
        </w:tc>
        <w:tc>
          <w:tcPr>
            <w:tcW w:w="325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jc w:val="center"/>
              <w:rPr>
                <w:sz w:val="24"/>
                <w:szCs w:val="24"/>
              </w:rPr>
            </w:pPr>
            <w:r>
              <w:rPr>
                <w:rFonts w:cs="Times New Roman"/>
                <w:sz w:val="24"/>
                <w:szCs w:val="24"/>
              </w:rPr>
              <w:t>Сума пунктів 1, 2, 3</w:t>
            </w:r>
          </w:p>
        </w:tc>
      </w:tr>
      <w:tr>
        <w:trPr>
          <w:trHeight w:val="268" w:hRule="atLeast"/>
        </w:trPr>
        <w:tc>
          <w:tcPr>
            <w:tcW w:w="4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rPr>
                <w:sz w:val="24"/>
                <w:szCs w:val="24"/>
              </w:rPr>
            </w:pPr>
            <w:r>
              <w:rPr>
                <w:rFonts w:cs="Times New Roman"/>
                <w:sz w:val="24"/>
                <w:szCs w:val="24"/>
              </w:rPr>
              <w:t>5.</w:t>
            </w:r>
          </w:p>
        </w:tc>
        <w:tc>
          <w:tcPr>
            <w:tcW w:w="43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jc w:val="right"/>
              <w:rPr>
                <w:sz w:val="24"/>
                <w:szCs w:val="24"/>
              </w:rPr>
            </w:pPr>
            <w:r>
              <w:rPr>
                <w:rFonts w:cs="Times New Roman"/>
                <w:b/>
                <w:sz w:val="24"/>
                <w:szCs w:val="24"/>
              </w:rPr>
              <w:t>Всього з ПДВ:</w:t>
            </w:r>
          </w:p>
        </w:tc>
        <w:tc>
          <w:tcPr>
            <w:tcW w:w="127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jc w:val="center"/>
              <w:rPr>
                <w:sz w:val="24"/>
                <w:szCs w:val="24"/>
              </w:rPr>
            </w:pPr>
            <w:r>
              <w:rPr>
                <w:rFonts w:cs="Times New Roman"/>
                <w:sz w:val="24"/>
                <w:szCs w:val="24"/>
              </w:rPr>
              <w:t>8,</w:t>
            </w:r>
            <w:r>
              <w:rPr>
                <w:rFonts w:cs="Times New Roman"/>
                <w:sz w:val="24"/>
                <w:szCs w:val="24"/>
                <w:lang w:val="ru-RU"/>
              </w:rPr>
              <w:t>1054444</w:t>
            </w:r>
          </w:p>
        </w:tc>
        <w:tc>
          <w:tcPr>
            <w:tcW w:w="325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jc w:val="center"/>
              <w:rPr>
                <w:sz w:val="24"/>
                <w:szCs w:val="24"/>
              </w:rPr>
            </w:pPr>
            <w:r>
              <w:rPr>
                <w:rFonts w:cs="Times New Roman"/>
                <w:sz w:val="24"/>
                <w:szCs w:val="24"/>
              </w:rPr>
              <w:t>пункт 4*1,2</w:t>
            </w:r>
          </w:p>
        </w:tc>
      </w:tr>
      <w:tr>
        <w:trPr>
          <w:trHeight w:val="90" w:hRule="atLeast"/>
        </w:trPr>
        <w:tc>
          <w:tcPr>
            <w:tcW w:w="433"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rPr>
                <w:rFonts w:cs="Times New Roman"/>
                <w:sz w:val="24"/>
                <w:szCs w:val="24"/>
              </w:rPr>
            </w:pPr>
            <w:r>
              <w:rPr>
                <w:rFonts w:cs="Times New Roman"/>
                <w:sz w:val="24"/>
                <w:szCs w:val="24"/>
              </w:rPr>
            </w:r>
          </w:p>
        </w:tc>
        <w:tc>
          <w:tcPr>
            <w:tcW w:w="4384"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jc w:val="right"/>
              <w:rPr>
                <w:sz w:val="24"/>
                <w:szCs w:val="24"/>
              </w:rPr>
            </w:pPr>
            <w:r>
              <w:rPr>
                <w:rFonts w:cs="Times New Roman"/>
                <w:b/>
                <w:sz w:val="24"/>
                <w:szCs w:val="24"/>
              </w:rPr>
              <w:t>З урахуванням округлення:</w:t>
            </w:r>
          </w:p>
        </w:tc>
        <w:tc>
          <w:tcPr>
            <w:tcW w:w="127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jc w:val="center"/>
              <w:rPr>
                <w:sz w:val="24"/>
                <w:szCs w:val="24"/>
              </w:rPr>
            </w:pPr>
            <w:r>
              <w:rPr>
                <w:rFonts w:cs="Times New Roman"/>
                <w:b/>
                <w:sz w:val="24"/>
                <w:szCs w:val="24"/>
              </w:rPr>
              <w:t>8,</w:t>
            </w:r>
            <w:r>
              <w:rPr>
                <w:rFonts w:cs="Times New Roman"/>
                <w:b/>
                <w:sz w:val="24"/>
                <w:szCs w:val="24"/>
                <w:lang w:val="ru-RU"/>
              </w:rPr>
              <w:t>11</w:t>
            </w:r>
          </w:p>
        </w:tc>
        <w:tc>
          <w:tcPr>
            <w:tcW w:w="325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hanging="0"/>
              <w:jc w:val="center"/>
              <w:rPr>
                <w:rFonts w:cs="Times New Roman"/>
                <w:sz w:val="24"/>
                <w:szCs w:val="24"/>
              </w:rPr>
            </w:pPr>
            <w:r>
              <w:rPr>
                <w:rFonts w:cs="Times New Roman"/>
                <w:sz w:val="24"/>
                <w:szCs w:val="24"/>
              </w:rPr>
            </w:r>
          </w:p>
        </w:tc>
      </w:tr>
    </w:tbl>
    <w:p>
      <w:pPr>
        <w:pStyle w:val="Normal"/>
        <w:ind w:left="851" w:hanging="0"/>
        <w:rPr>
          <w:rFonts w:ascii="Times New Roman" w:hAnsi="Times New Roman"/>
        </w:rPr>
      </w:pPr>
      <w:r>
        <w:rPr>
          <w:sz w:val="24"/>
          <w:szCs w:val="24"/>
        </w:rPr>
      </w:r>
    </w:p>
    <w:p>
      <w:pPr>
        <w:pStyle w:val="Normal"/>
        <w:spacing w:before="0" w:after="0"/>
        <w:rPr>
          <w:sz w:val="24"/>
          <w:szCs w:val="24"/>
        </w:rPr>
      </w:pPr>
      <w:r>
        <w:rPr>
          <w:b/>
          <w:sz w:val="24"/>
          <w:szCs w:val="24"/>
        </w:rPr>
        <w:t xml:space="preserve">Кількість – 43062 </w:t>
      </w:r>
      <w:r>
        <w:rPr>
          <w:rFonts w:eastAsia="SimSun"/>
          <w:b/>
          <w:sz w:val="24"/>
          <w:szCs w:val="24"/>
        </w:rPr>
        <w:t>к</w:t>
      </w:r>
      <w:r>
        <w:rPr>
          <w:b/>
          <w:sz w:val="24"/>
          <w:szCs w:val="24"/>
        </w:rPr>
        <w:t>Вт/год</w:t>
      </w:r>
    </w:p>
    <w:p>
      <w:pPr>
        <w:pStyle w:val="Normal"/>
        <w:spacing w:before="0" w:after="0"/>
        <w:rPr>
          <w:sz w:val="24"/>
          <w:szCs w:val="24"/>
        </w:rPr>
      </w:pPr>
      <w:r>
        <w:rPr>
          <w:b/>
          <w:sz w:val="24"/>
          <w:szCs w:val="24"/>
        </w:rPr>
        <w:t>43062</w:t>
      </w:r>
      <w:r>
        <w:rPr>
          <w:b/>
          <w:sz w:val="24"/>
          <w:szCs w:val="24"/>
          <w:lang w:val="ru-RU"/>
        </w:rPr>
        <w:t>-</w:t>
      </w:r>
      <w:r>
        <w:rPr>
          <w:b/>
          <w:sz w:val="24"/>
          <w:szCs w:val="24"/>
        </w:rPr>
        <w:t xml:space="preserve"> </w:t>
      </w:r>
      <w:r>
        <w:rPr>
          <w:rFonts w:eastAsia="SimSun"/>
          <w:b/>
          <w:sz w:val="24"/>
          <w:szCs w:val="24"/>
        </w:rPr>
        <w:t>к</w:t>
      </w:r>
      <w:r>
        <w:rPr>
          <w:b/>
          <w:sz w:val="24"/>
          <w:szCs w:val="24"/>
        </w:rPr>
        <w:t xml:space="preserve">Вт/год * 8,11 грн. = </w:t>
      </w:r>
      <w:r>
        <w:rPr>
          <w:b/>
          <w:sz w:val="24"/>
          <w:szCs w:val="24"/>
          <w:lang w:val="ru-RU"/>
        </w:rPr>
        <w:t>349232</w:t>
      </w:r>
      <w:r>
        <w:rPr>
          <w:b/>
          <w:sz w:val="24"/>
          <w:szCs w:val="24"/>
        </w:rPr>
        <w:t>,</w:t>
      </w:r>
      <w:r>
        <w:rPr>
          <w:b/>
          <w:sz w:val="24"/>
          <w:szCs w:val="24"/>
          <w:lang w:val="ru-RU"/>
        </w:rPr>
        <w:t>82</w:t>
      </w:r>
      <w:r>
        <w:rPr>
          <w:b/>
          <w:sz w:val="24"/>
          <w:szCs w:val="24"/>
        </w:rPr>
        <w:t xml:space="preserve"> грн.</w:t>
      </w:r>
    </w:p>
    <w:p>
      <w:pPr>
        <w:pStyle w:val="Normal"/>
        <w:shd w:val="clear" w:color="auto" w:fill="FFFFFF"/>
        <w:spacing w:lineRule="atLeast" w:line="345" w:before="0" w:after="0"/>
        <w:ind w:firstLine="851"/>
        <w:jc w:val="both"/>
        <w:rPr>
          <w:sz w:val="24"/>
          <w:szCs w:val="24"/>
        </w:rPr>
      </w:pPr>
      <w:r>
        <w:rPr>
          <w:rFonts w:eastAsia="Times New Roman"/>
          <w:sz w:val="24"/>
          <w:szCs w:val="24"/>
          <w:lang w:eastAsia="uk-UA"/>
        </w:rPr>
        <w:t>Кількість товару, прогнозована за фактичним споживанням у 2024 році, складає 43062 кВт/год, у тому числі: за рахунок бюджетних коштів – 40752 кВт/год; за рахунок відшкодування орендарів – 2310 кВт/год.</w:t>
      </w:r>
    </w:p>
    <w:p>
      <w:pPr>
        <w:pStyle w:val="NormalWeb"/>
        <w:spacing w:lineRule="auto" w:line="240"/>
        <w:rPr>
          <w:sz w:val="24"/>
          <w:szCs w:val="24"/>
        </w:rPr>
      </w:pPr>
      <w:r>
        <w:rPr>
          <w:color w:val="000000"/>
          <w:sz w:val="24"/>
          <w:szCs w:val="24"/>
        </w:rPr>
        <w:tab/>
        <w:t>Фактична ціна за одиницю (кВт год) з ПДВ для споживача групи Б за розрахунковий місяць розраховується за формулою:</w:t>
      </w:r>
    </w:p>
    <w:p>
      <w:pPr>
        <w:pStyle w:val="NormalWeb"/>
        <w:spacing w:lineRule="auto" w:line="240"/>
        <w:rPr>
          <w:sz w:val="24"/>
          <w:szCs w:val="24"/>
        </w:rPr>
      </w:pPr>
      <w:r>
        <w:rPr>
          <w:color w:val="000000"/>
          <w:sz w:val="24"/>
          <w:szCs w:val="24"/>
        </w:rPr>
        <w:t>Формула Цф = (Цсз +Тпер+ V)×1.2, де</w:t>
      </w:r>
    </w:p>
    <w:p>
      <w:pPr>
        <w:pStyle w:val="NormalWeb"/>
        <w:spacing w:lineRule="auto" w:line="240"/>
        <w:rPr>
          <w:sz w:val="24"/>
          <w:szCs w:val="24"/>
        </w:rPr>
      </w:pPr>
      <w:r>
        <w:rPr>
          <w:color w:val="000000"/>
          <w:sz w:val="24"/>
          <w:szCs w:val="24"/>
        </w:rPr>
        <w:t>Цсз – середньозважена ціна РДН за розрахунковий період (календарний місяць) , яка (без ПДВ),</w:t>
      </w:r>
    </w:p>
    <w:p>
      <w:pPr>
        <w:pStyle w:val="NormalWeb"/>
        <w:spacing w:lineRule="auto" w:line="240"/>
        <w:rPr>
          <w:sz w:val="24"/>
          <w:szCs w:val="24"/>
        </w:rPr>
      </w:pPr>
      <w:r>
        <w:rPr>
          <w:color w:val="000000"/>
          <w:sz w:val="24"/>
          <w:szCs w:val="24"/>
        </w:rPr>
        <w:t>грн/кВт год, що формується оператором ринку та публікується на його вебсайті за посиланням https://www.oree.com.ua/.</w:t>
      </w:r>
    </w:p>
    <w:p>
      <w:pPr>
        <w:pStyle w:val="NormalWeb"/>
        <w:spacing w:lineRule="auto" w:line="240"/>
        <w:rPr>
          <w:sz w:val="24"/>
          <w:szCs w:val="24"/>
        </w:rPr>
      </w:pPr>
      <w:r>
        <w:rPr>
          <w:color w:val="000000"/>
          <w:sz w:val="24"/>
          <w:szCs w:val="24"/>
        </w:rPr>
        <w:t>Тпер – тариф на послуги з передачі електричної енергії, затверджений НКРЕКП, який діє для розрахункового періоду (календарний місяць) (без ПДВ), грн/кВт год;</w:t>
      </w:r>
    </w:p>
    <w:p>
      <w:pPr>
        <w:pStyle w:val="NormalWeb"/>
        <w:spacing w:lineRule="auto" w:line="240"/>
        <w:rPr>
          <w:sz w:val="24"/>
          <w:szCs w:val="24"/>
        </w:rPr>
      </w:pPr>
      <w:r>
        <w:rPr>
          <w:color w:val="000000"/>
          <w:sz w:val="24"/>
          <w:szCs w:val="24"/>
        </w:rPr>
        <w:t>V – Торгівельна надбавка (вартість послуг Постачальника з врахуванням обов’язкових податків, зборів та платежів, що передбачені правилами ринку, законодавством та іншими нормативними документами – відповідно до тендерної пропозиції та не може змінюватись протягом строку дії договору) (без ПДВ), грн/кВт год.</w:t>
      </w:r>
    </w:p>
    <w:p>
      <w:pPr>
        <w:pStyle w:val="NormalWeb"/>
        <w:spacing w:lineRule="auto" w:line="240"/>
        <w:rPr>
          <w:sz w:val="24"/>
          <w:szCs w:val="24"/>
        </w:rPr>
      </w:pPr>
      <w:r>
        <w:rPr>
          <w:color w:val="000000"/>
          <w:sz w:val="24"/>
          <w:szCs w:val="24"/>
        </w:rPr>
        <w:t>Вартість за розрахунковий період розраховується відповідно до формули:</w:t>
      </w:r>
    </w:p>
    <w:p>
      <w:pPr>
        <w:pStyle w:val="NormalWeb"/>
        <w:spacing w:lineRule="auto" w:line="240"/>
        <w:rPr>
          <w:sz w:val="24"/>
          <w:szCs w:val="24"/>
        </w:rPr>
      </w:pPr>
      <w:r>
        <w:rPr>
          <w:color w:val="000000"/>
          <w:sz w:val="24"/>
          <w:szCs w:val="24"/>
        </w:rPr>
        <w:t>R = Цф*W, де</w:t>
      </w:r>
    </w:p>
    <w:p>
      <w:pPr>
        <w:pStyle w:val="NormalWeb"/>
        <w:spacing w:lineRule="auto" w:line="240"/>
        <w:rPr>
          <w:sz w:val="24"/>
          <w:szCs w:val="24"/>
        </w:rPr>
      </w:pPr>
      <w:r>
        <w:rPr>
          <w:color w:val="000000"/>
          <w:sz w:val="24"/>
          <w:szCs w:val="24"/>
        </w:rPr>
        <w:t>R – вартість за розрахунковий період</w:t>
      </w:r>
    </w:p>
    <w:p>
      <w:pPr>
        <w:pStyle w:val="NormalWeb"/>
        <w:spacing w:lineRule="auto" w:line="240"/>
        <w:rPr>
          <w:sz w:val="24"/>
          <w:szCs w:val="24"/>
        </w:rPr>
      </w:pPr>
      <w:r>
        <w:rPr>
          <w:color w:val="000000"/>
          <w:sz w:val="24"/>
          <w:szCs w:val="24"/>
        </w:rPr>
        <w:t>W – фактичний обсяг споживання електричної енергії по об’єкту/-там Споживача за розрахунковий період (календарний місяць), кВт год.</w:t>
      </w:r>
    </w:p>
    <w:p>
      <w:pPr>
        <w:pStyle w:val="Normal"/>
        <w:tabs>
          <w:tab w:val="left" w:pos="363" w:leader="none"/>
        </w:tabs>
        <w:spacing w:lineRule="auto" w:line="240" w:before="0" w:after="0"/>
        <w:ind w:firstLine="709"/>
        <w:jc w:val="both"/>
        <w:rPr>
          <w:sz w:val="26"/>
          <w:szCs w:val="24"/>
        </w:rPr>
      </w:pPr>
      <w:r>
        <w:rPr>
          <w:sz w:val="26"/>
          <w:szCs w:val="24"/>
        </w:rPr>
      </w:r>
    </w:p>
    <w:p>
      <w:pPr>
        <w:pStyle w:val="ListParagraph"/>
        <w:tabs>
          <w:tab w:val="left" w:pos="378" w:leader="none"/>
          <w:tab w:val="left" w:pos="1709" w:leader="none"/>
          <w:tab w:val="left" w:pos="2009" w:leader="none"/>
          <w:tab w:val="left" w:pos="2294" w:leader="none"/>
          <w:tab w:val="left" w:pos="2776" w:leader="none"/>
          <w:tab w:val="left" w:pos="2903" w:leader="none"/>
          <w:tab w:val="left" w:pos="3253" w:leader="none"/>
          <w:tab w:val="left" w:pos="3627" w:leader="none"/>
          <w:tab w:val="left" w:pos="5063" w:leader="none"/>
          <w:tab w:val="left" w:pos="8093" w:leader="none"/>
        </w:tabs>
        <w:spacing w:before="100" w:after="0"/>
        <w:ind w:right="99" w:hanging="0"/>
        <w:rPr>
          <w:sz w:val="26"/>
        </w:rPr>
      </w:pPr>
      <w:r>
        <w:rPr/>
      </w:r>
    </w:p>
    <w:sectPr>
      <w:type w:val="nextPage"/>
      <w:pgSz w:w="11906" w:h="16838"/>
      <w:pgMar w:left="1600" w:right="740" w:header="0" w:top="1160" w:footer="0" w:bottom="28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04" w:hanging="264"/>
      </w:pPr>
      <w:rPr>
        <w:sz w:val="26"/>
        <w:spacing w:val="-3"/>
        <w:i w:val="false"/>
        <w:b w:val="false"/>
        <w:szCs w:val="26"/>
        <w:iCs w:val="false"/>
        <w:bCs w:val="false"/>
        <w:w w:val="100"/>
        <w:rFonts w:eastAsia="Times New Roman" w:cs="Times New Roman"/>
        <w:lang w:val="uk-UA" w:eastAsia="en-US" w:bidi="ar-SA"/>
      </w:rPr>
    </w:lvl>
    <w:lvl w:ilvl="1">
      <w:start w:val="1"/>
      <w:numFmt w:val="bullet"/>
      <w:lvlText w:val=""/>
      <w:lvlJc w:val="left"/>
      <w:pPr>
        <w:ind w:left="1046" w:hanging="264"/>
      </w:pPr>
      <w:rPr>
        <w:rFonts w:ascii="Symbol" w:hAnsi="Symbol" w:cs="Symbol" w:hint="default"/>
        <w:rFonts w:cs="Symbol"/>
        <w:lang w:val="uk-UA" w:eastAsia="en-US" w:bidi="ar-SA"/>
      </w:rPr>
    </w:lvl>
    <w:lvl w:ilvl="2">
      <w:start w:val="1"/>
      <w:numFmt w:val="bullet"/>
      <w:lvlText w:val=""/>
      <w:lvlJc w:val="left"/>
      <w:pPr>
        <w:ind w:left="1992" w:hanging="264"/>
      </w:pPr>
      <w:rPr>
        <w:rFonts w:ascii="Symbol" w:hAnsi="Symbol" w:cs="Symbol" w:hint="default"/>
        <w:rFonts w:cs="Symbol"/>
        <w:lang w:val="uk-UA" w:eastAsia="en-US" w:bidi="ar-SA"/>
      </w:rPr>
    </w:lvl>
    <w:lvl w:ilvl="3">
      <w:start w:val="1"/>
      <w:numFmt w:val="bullet"/>
      <w:lvlText w:val=""/>
      <w:lvlJc w:val="left"/>
      <w:pPr>
        <w:ind w:left="2938" w:hanging="264"/>
      </w:pPr>
      <w:rPr>
        <w:rFonts w:ascii="Symbol" w:hAnsi="Symbol" w:cs="Symbol" w:hint="default"/>
        <w:rFonts w:cs="Symbol"/>
        <w:lang w:val="uk-UA" w:eastAsia="en-US" w:bidi="ar-SA"/>
      </w:rPr>
    </w:lvl>
    <w:lvl w:ilvl="4">
      <w:start w:val="1"/>
      <w:numFmt w:val="bullet"/>
      <w:lvlText w:val=""/>
      <w:lvlJc w:val="left"/>
      <w:pPr>
        <w:ind w:left="3884" w:hanging="264"/>
      </w:pPr>
      <w:rPr>
        <w:rFonts w:ascii="Symbol" w:hAnsi="Symbol" w:cs="Symbol" w:hint="default"/>
        <w:rFonts w:cs="Symbol"/>
        <w:lang w:val="uk-UA" w:eastAsia="en-US" w:bidi="ar-SA"/>
      </w:rPr>
    </w:lvl>
    <w:lvl w:ilvl="5">
      <w:start w:val="1"/>
      <w:numFmt w:val="bullet"/>
      <w:lvlText w:val=""/>
      <w:lvlJc w:val="left"/>
      <w:pPr>
        <w:ind w:left="4830" w:hanging="264"/>
      </w:pPr>
      <w:rPr>
        <w:rFonts w:ascii="Symbol" w:hAnsi="Symbol" w:cs="Symbol" w:hint="default"/>
        <w:rFonts w:cs="Symbol"/>
        <w:lang w:val="uk-UA" w:eastAsia="en-US" w:bidi="ar-SA"/>
      </w:rPr>
    </w:lvl>
    <w:lvl w:ilvl="6">
      <w:start w:val="1"/>
      <w:numFmt w:val="bullet"/>
      <w:lvlText w:val=""/>
      <w:lvlJc w:val="left"/>
      <w:pPr>
        <w:ind w:left="5776" w:hanging="264"/>
      </w:pPr>
      <w:rPr>
        <w:rFonts w:ascii="Symbol" w:hAnsi="Symbol" w:cs="Symbol" w:hint="default"/>
        <w:rFonts w:cs="Symbol"/>
        <w:lang w:val="uk-UA" w:eastAsia="en-US" w:bidi="ar-SA"/>
      </w:rPr>
    </w:lvl>
    <w:lvl w:ilvl="7">
      <w:start w:val="1"/>
      <w:numFmt w:val="bullet"/>
      <w:lvlText w:val=""/>
      <w:lvlJc w:val="left"/>
      <w:pPr>
        <w:ind w:left="6722" w:hanging="264"/>
      </w:pPr>
      <w:rPr>
        <w:rFonts w:ascii="Symbol" w:hAnsi="Symbol" w:cs="Symbol" w:hint="default"/>
        <w:rFonts w:cs="Symbol"/>
        <w:lang w:val="uk-UA" w:eastAsia="en-US" w:bidi="ar-SA"/>
      </w:rPr>
    </w:lvl>
    <w:lvl w:ilvl="8">
      <w:start w:val="1"/>
      <w:numFmt w:val="bullet"/>
      <w:lvlText w:val=""/>
      <w:lvlJc w:val="left"/>
      <w:pPr>
        <w:ind w:left="7668" w:hanging="264"/>
      </w:pPr>
      <w:rPr>
        <w:rFonts w:ascii="Symbol" w:hAnsi="Symbol" w:cs="Symbol" w:hint="default"/>
        <w:rFonts w:cs="Symbol"/>
        <w:lang w:val="uk-UA" w:eastAsia="en-US" w:bidi="ar-SA"/>
      </w:rPr>
    </w:lvl>
  </w:abstractNum>
  <w:abstractNum w:abstractNumId="2">
    <w:lvl w:ilvl="0">
      <w:start w:val="1"/>
      <w:numFmt w:val="decimal"/>
      <w:lvlText w:val="%1."/>
      <w:lvlJc w:val="left"/>
      <w:pPr>
        <w:ind w:left="786" w:hanging="360"/>
      </w:pPr>
      <w:rPr>
        <w:sz w:val="24"/>
        <w:b/>
        <w:rFonts w:ascii="Times New Roman" w:hAnsi="Times New Roman"/>
        <w:color w:val="00000A"/>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U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pPr>
      <w:widowControl/>
      <w:bidi w:val="0"/>
      <w:jc w:val="left"/>
    </w:pPr>
    <w:rPr>
      <w:rFonts w:ascii="Times New Roman" w:hAnsi="Times New Roman" w:eastAsia="Times New Roman" w:cs="Times New Roman"/>
      <w:color w:val="00000A"/>
      <w:kern w:val="0"/>
      <w:sz w:val="22"/>
      <w:szCs w:val="22"/>
      <w:lang w:val="uk-UA" w:eastAsia="en-US" w:bidi="ar-SA"/>
    </w:rPr>
  </w:style>
  <w:style w:type="character" w:styleId="DefaultParagraphFont" w:default="1">
    <w:name w:val="Default Paragraph Font"/>
    <w:uiPriority w:val="1"/>
    <w:semiHidden/>
    <w:unhideWhenUsed/>
    <w:qFormat/>
    <w:rPr/>
  </w:style>
  <w:style w:type="character" w:styleId="ListLabel1">
    <w:name w:val="ListLabel 1"/>
    <w:qFormat/>
    <w:rPr>
      <w:rFonts w:eastAsia="Times New Roman" w:cs="Times New Roman"/>
      <w:b w:val="false"/>
      <w:bCs w:val="false"/>
      <w:i w:val="false"/>
      <w:iCs w:val="false"/>
      <w:spacing w:val="-3"/>
      <w:w w:val="100"/>
      <w:sz w:val="26"/>
      <w:szCs w:val="26"/>
      <w:lang w:val="uk-UA" w:eastAsia="en-US" w:bidi="ar-SA"/>
    </w:rPr>
  </w:style>
  <w:style w:type="character" w:styleId="ListLabel2">
    <w:name w:val="ListLabel 2"/>
    <w:qFormat/>
    <w:rPr>
      <w:lang w:val="uk-UA" w:eastAsia="en-US" w:bidi="ar-SA"/>
    </w:rPr>
  </w:style>
  <w:style w:type="character" w:styleId="ListLabel3">
    <w:name w:val="ListLabel 3"/>
    <w:qFormat/>
    <w:rPr>
      <w:lang w:val="uk-UA" w:eastAsia="en-US" w:bidi="ar-SA"/>
    </w:rPr>
  </w:style>
  <w:style w:type="character" w:styleId="ListLabel4">
    <w:name w:val="ListLabel 4"/>
    <w:qFormat/>
    <w:rPr>
      <w:lang w:val="uk-UA" w:eastAsia="en-US" w:bidi="ar-SA"/>
    </w:rPr>
  </w:style>
  <w:style w:type="character" w:styleId="ListLabel5">
    <w:name w:val="ListLabel 5"/>
    <w:qFormat/>
    <w:rPr>
      <w:lang w:val="uk-UA" w:eastAsia="en-US" w:bidi="ar-SA"/>
    </w:rPr>
  </w:style>
  <w:style w:type="character" w:styleId="ListLabel6">
    <w:name w:val="ListLabel 6"/>
    <w:qFormat/>
    <w:rPr>
      <w:lang w:val="uk-UA" w:eastAsia="en-US" w:bidi="ar-SA"/>
    </w:rPr>
  </w:style>
  <w:style w:type="character" w:styleId="ListLabel7">
    <w:name w:val="ListLabel 7"/>
    <w:qFormat/>
    <w:rPr>
      <w:lang w:val="uk-UA" w:eastAsia="en-US" w:bidi="ar-SA"/>
    </w:rPr>
  </w:style>
  <w:style w:type="character" w:styleId="ListLabel8">
    <w:name w:val="ListLabel 8"/>
    <w:qFormat/>
    <w:rPr>
      <w:lang w:val="uk-UA" w:eastAsia="en-US" w:bidi="ar-SA"/>
    </w:rPr>
  </w:style>
  <w:style w:type="character" w:styleId="ListLabel9">
    <w:name w:val="ListLabel 9"/>
    <w:qFormat/>
    <w:rPr>
      <w:lang w:val="uk-UA" w:eastAsia="en-US" w:bidi="ar-SA"/>
    </w:rPr>
  </w:style>
  <w:style w:type="character" w:styleId="ListLabel10">
    <w:name w:val="ListLabel 10"/>
    <w:qFormat/>
    <w:rPr>
      <w:rFonts w:eastAsia="Times New Roman" w:cs="Times New Roman"/>
      <w:b w:val="false"/>
      <w:bCs w:val="false"/>
      <w:i w:val="false"/>
      <w:iCs w:val="false"/>
      <w:spacing w:val="-3"/>
      <w:w w:val="100"/>
      <w:sz w:val="26"/>
      <w:szCs w:val="26"/>
      <w:lang w:val="uk-UA" w:eastAsia="en-US" w:bidi="ar-SA"/>
    </w:rPr>
  </w:style>
  <w:style w:type="character" w:styleId="ListLabel11">
    <w:name w:val="ListLabel 11"/>
    <w:qFormat/>
    <w:rPr>
      <w:rFonts w:cs="Symbol"/>
      <w:lang w:val="uk-UA" w:eastAsia="en-US" w:bidi="ar-SA"/>
    </w:rPr>
  </w:style>
  <w:style w:type="character" w:styleId="ListLabel12">
    <w:name w:val="ListLabel 12"/>
    <w:qFormat/>
    <w:rPr>
      <w:rFonts w:cs="Symbol"/>
      <w:lang w:val="uk-UA" w:eastAsia="en-US" w:bidi="ar-SA"/>
    </w:rPr>
  </w:style>
  <w:style w:type="character" w:styleId="ListLabel13">
    <w:name w:val="ListLabel 13"/>
    <w:qFormat/>
    <w:rPr>
      <w:rFonts w:cs="Symbol"/>
      <w:lang w:val="uk-UA" w:eastAsia="en-US" w:bidi="ar-SA"/>
    </w:rPr>
  </w:style>
  <w:style w:type="character" w:styleId="ListLabel14">
    <w:name w:val="ListLabel 14"/>
    <w:qFormat/>
    <w:rPr>
      <w:rFonts w:cs="Symbol"/>
      <w:lang w:val="uk-UA" w:eastAsia="en-US" w:bidi="ar-SA"/>
    </w:rPr>
  </w:style>
  <w:style w:type="character" w:styleId="ListLabel15">
    <w:name w:val="ListLabel 15"/>
    <w:qFormat/>
    <w:rPr>
      <w:rFonts w:cs="Symbol"/>
      <w:lang w:val="uk-UA" w:eastAsia="en-US" w:bidi="ar-SA"/>
    </w:rPr>
  </w:style>
  <w:style w:type="character" w:styleId="ListLabel16">
    <w:name w:val="ListLabel 16"/>
    <w:qFormat/>
    <w:rPr>
      <w:rFonts w:cs="Symbol"/>
      <w:lang w:val="uk-UA" w:eastAsia="en-US" w:bidi="ar-SA"/>
    </w:rPr>
  </w:style>
  <w:style w:type="character" w:styleId="ListLabel17">
    <w:name w:val="ListLabel 17"/>
    <w:qFormat/>
    <w:rPr>
      <w:rFonts w:cs="Symbol"/>
      <w:lang w:val="uk-UA" w:eastAsia="en-US" w:bidi="ar-SA"/>
    </w:rPr>
  </w:style>
  <w:style w:type="character" w:styleId="ListLabel18">
    <w:name w:val="ListLabel 18"/>
    <w:qFormat/>
    <w:rPr>
      <w:rFonts w:cs="Symbol"/>
      <w:lang w:val="uk-UA" w:eastAsia="en-US" w:bidi="ar-SA"/>
    </w:rPr>
  </w:style>
  <w:style w:type="character" w:styleId="ListLabel25">
    <w:name w:val="ListLabel 25"/>
    <w:qFormat/>
    <w:rPr>
      <w:rFonts w:ascii="Times New Roman" w:hAnsi="Times New Roman"/>
      <w:b/>
      <w:color w:val="00000A"/>
      <w:sz w:val="24"/>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uiPriority w:val="1"/>
    <w:qFormat/>
    <w:pPr>
      <w:ind w:left="104" w:hanging="0"/>
      <w:jc w:val="both"/>
    </w:pPr>
    <w:rPr>
      <w:sz w:val="26"/>
      <w:szCs w:val="26"/>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ListParagraph">
    <w:name w:val="List Paragraph"/>
    <w:basedOn w:val="Normal"/>
    <w:uiPriority w:val="1"/>
    <w:qFormat/>
    <w:pPr>
      <w:spacing w:before="99" w:after="0"/>
      <w:ind w:left="104" w:hanging="0"/>
      <w:jc w:val="both"/>
    </w:pPr>
    <w:rPr/>
  </w:style>
  <w:style w:type="paragraph" w:styleId="TableParagraph" w:customStyle="1">
    <w:name w:val="Table Paragraph"/>
    <w:basedOn w:val="Normal"/>
    <w:uiPriority w:val="1"/>
    <w:qFormat/>
    <w:pPr/>
    <w:rPr/>
  </w:style>
  <w:style w:type="paragraph" w:styleId="NormalWeb">
    <w:name w:val="Normal (Web)"/>
    <w:basedOn w:val="Normal"/>
    <w:uiPriority w:val="99"/>
    <w:unhideWhenUsed/>
    <w:qFormat/>
    <w:rsid w:val="00b75d9b"/>
    <w:pPr>
      <w:widowControl/>
      <w:spacing w:beforeAutospacing="1" w:afterAutospacing="1"/>
    </w:pPr>
    <w:rPr>
      <w:sz w:val="24"/>
      <w:szCs w:val="24"/>
      <w:lang w:val="ru-RU" w:eastAsia="ru-RU"/>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Application>LibreOffice/6.0.3.2$Windows_X86_64 LibreOffice_project/8f48d515416608e3a835360314dac7e47fd0b821</Application>
  <Pages>2</Pages>
  <Words>676</Words>
  <Characters>4497</Characters>
  <CharactersWithSpaces>5149</CharactersWithSpaces>
  <Paragraphs>59</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2024-01-04T12:05:00Z</dcterms:created>
  <dc:creator>morpheus</dc:creator>
  <dc:description/>
  <dc:language>ru-RU</dc:language>
  <cp:lastModifiedBy/>
  <dcterms:modified xsi:type="dcterms:W3CDTF">2024-12-02T10:26:48Z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Created">
    <vt:filetime>2021-06-11T00:00:00Z</vt:filetime>
  </property>
  <property fmtid="{D5CDD505-2E9C-101B-9397-08002B2CF9AE}" pid="5" name="Creator">
    <vt:lpwstr>Writer</vt:lpwstr>
  </property>
  <property fmtid="{D5CDD505-2E9C-101B-9397-08002B2CF9AE}" pid="6" name="DocSecurity">
    <vt:i4>0</vt:i4>
  </property>
  <property fmtid="{D5CDD505-2E9C-101B-9397-08002B2CF9AE}" pid="7" name="HyperlinksChanged">
    <vt:bool>0</vt:bool>
  </property>
  <property fmtid="{D5CDD505-2E9C-101B-9397-08002B2CF9AE}" pid="8" name="LastSaved">
    <vt:filetime>2024-01-04T00:00:00Z</vt:filetime>
  </property>
  <property fmtid="{D5CDD505-2E9C-101B-9397-08002B2CF9AE}" pid="9" name="LinksUpToDate">
    <vt:bool>0</vt:bool>
  </property>
  <property fmtid="{D5CDD505-2E9C-101B-9397-08002B2CF9AE}" pid="10" name="Producer">
    <vt:lpwstr>3-Heights(TM) PDF Security Shell 4.8.25.2 (http://www.pdf-tools.com)</vt:lpwstr>
  </property>
  <property fmtid="{D5CDD505-2E9C-101B-9397-08002B2CF9AE}" pid="11" name="ScaleCrop">
    <vt:bool>0</vt:bool>
  </property>
  <property fmtid="{D5CDD505-2E9C-101B-9397-08002B2CF9AE}" pid="12" name="ShareDoc">
    <vt:bool>0</vt:bool>
  </property>
</Properties>
</file>